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65AA0F04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BA7306">
        <w:rPr>
          <w:rFonts w:ascii="Calibri" w:eastAsia="Arial Unicode MS" w:hAnsi="Calibri" w:cs="Calibri"/>
          <w:sz w:val="24"/>
        </w:rPr>
        <w:t>4</w:t>
      </w:r>
    </w:p>
    <w:p w14:paraId="7E762289" w14:textId="77777777" w:rsidR="00297A91" w:rsidRPr="00C74DB4" w:rsidRDefault="0065283B" w:rsidP="00297A91">
      <w:pPr>
        <w:pStyle w:val="Nadpis9"/>
        <w:rPr>
          <w:rFonts w:ascii="Calibri" w:eastAsia="Arial Unicode MS" w:hAnsi="Calibri" w:cs="Calibri"/>
          <w:sz w:val="40"/>
        </w:rPr>
      </w:pPr>
      <w:r w:rsidRPr="00C74DB4">
        <w:rPr>
          <w:rFonts w:ascii="Calibri" w:eastAsia="Arial Unicode MS" w:hAnsi="Calibri" w:cs="Calibri"/>
          <w:sz w:val="40"/>
        </w:rPr>
        <w:t>Krycí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4663DE66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7E2D30">
        <w:rPr>
          <w:rFonts w:ascii="Calibri" w:eastAsia="Arial Unicode MS" w:hAnsi="Calibri" w:cs="Calibri"/>
          <w:b/>
        </w:rPr>
        <w:t>služby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7318482A" w:rsidR="00D17F80" w:rsidRPr="00C74DB4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7E2D30">
        <w:rPr>
          <w:rFonts w:ascii="Calibri" w:hAnsi="Calibri" w:cs="Calibri"/>
          <w:b/>
          <w:bCs/>
          <w:sz w:val="28"/>
          <w:szCs w:val="28"/>
        </w:rPr>
        <w:t>Tisk Městských novin na rok 2026 a 2027“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52211D86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5A5FFC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653D9564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DIČ:</w:t>
      </w:r>
      <w:r w:rsidR="00B50765">
        <w:rPr>
          <w:rFonts w:ascii="Calibri" w:hAnsi="Calibri" w:cs="Calibri"/>
          <w:b w:val="0"/>
          <w:i w:val="0"/>
          <w:sz w:val="22"/>
          <w:u w:val="none"/>
        </w:rPr>
        <w:tab/>
      </w:r>
      <w:r w:rsidR="00B50765">
        <w:rPr>
          <w:rFonts w:ascii="Calibri" w:hAnsi="Calibri" w:cs="Calibri"/>
          <w:b w:val="0"/>
          <w:i w:val="0"/>
          <w:sz w:val="22"/>
          <w:u w:val="none"/>
        </w:rPr>
        <w:tab/>
      </w:r>
      <w:r w:rsidR="00B50765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D327D32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Zastoupený:</w:t>
      </w:r>
      <w:r w:rsidR="00B50765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1F8C6661" w:rsidR="00D76B49" w:rsidRPr="00C74DB4" w:rsidRDefault="00657606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Celková 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1728D1">
        <w:trPr>
          <w:trHeight w:val="567"/>
        </w:trPr>
        <w:tc>
          <w:tcPr>
            <w:tcW w:w="4454" w:type="dxa"/>
            <w:vAlign w:val="center"/>
          </w:tcPr>
          <w:p w14:paraId="5F576944" w14:textId="0089491C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0170F5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vAlign w:val="center"/>
          </w:tcPr>
          <w:p w14:paraId="376E3CA8" w14:textId="77777777" w:rsidR="00D76B49" w:rsidRPr="001728D1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1728D1">
        <w:trPr>
          <w:trHeight w:val="567"/>
        </w:trPr>
        <w:tc>
          <w:tcPr>
            <w:tcW w:w="4454" w:type="dxa"/>
            <w:vAlign w:val="center"/>
          </w:tcPr>
          <w:p w14:paraId="4648E2E0" w14:textId="7DD894B4" w:rsidR="00D76B49" w:rsidRPr="00C74DB4" w:rsidRDefault="00657606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Celková 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vAlign w:val="center"/>
          </w:tcPr>
          <w:p w14:paraId="753494CC" w14:textId="77777777" w:rsidR="00D76B49" w:rsidRPr="001728D1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75C92C5D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3A559F">
        <w:rPr>
          <w:rFonts w:ascii="Calibri" w:hAnsi="Calibri" w:cs="Calibri"/>
          <w:sz w:val="22"/>
          <w:szCs w:val="22"/>
        </w:rPr>
        <w:t>MUCL</w:t>
      </w:r>
      <w:r w:rsidR="00A96EC8" w:rsidRPr="00BC6768">
        <w:rPr>
          <w:rFonts w:ascii="Calibri" w:hAnsi="Calibri" w:cs="Calibri"/>
          <w:sz w:val="22"/>
          <w:szCs w:val="22"/>
        </w:rPr>
        <w:t>/</w:t>
      </w:r>
      <w:r w:rsidR="00BC6768" w:rsidRPr="00BC6768">
        <w:rPr>
          <w:rFonts w:ascii="Calibri" w:hAnsi="Calibri" w:cs="Calibri"/>
          <w:sz w:val="22"/>
          <w:szCs w:val="22"/>
        </w:rPr>
        <w:t>108553</w:t>
      </w:r>
      <w:r w:rsidR="0067385A" w:rsidRPr="00BC6768">
        <w:rPr>
          <w:rFonts w:ascii="Calibri" w:hAnsi="Calibri" w:cs="Calibri"/>
          <w:sz w:val="22"/>
          <w:szCs w:val="22"/>
        </w:rPr>
        <w:t>/</w:t>
      </w:r>
      <w:r w:rsidR="0067385A" w:rsidRPr="003A559F">
        <w:rPr>
          <w:rFonts w:ascii="Calibri" w:hAnsi="Calibri" w:cs="Calibri"/>
          <w:sz w:val="22"/>
          <w:szCs w:val="22"/>
        </w:rPr>
        <w:t>202</w:t>
      </w:r>
      <w:r w:rsidR="000170F5" w:rsidRPr="003A559F">
        <w:rPr>
          <w:rFonts w:ascii="Calibri" w:hAnsi="Calibri" w:cs="Calibri"/>
          <w:sz w:val="22"/>
          <w:szCs w:val="22"/>
        </w:rPr>
        <w:t>5</w:t>
      </w:r>
      <w:r w:rsidR="0067385A" w:rsidRPr="003A559F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lastRenderedPageBreak/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D84B" w14:textId="77777777" w:rsidR="003403CB" w:rsidRDefault="003403CB">
      <w:r>
        <w:separator/>
      </w:r>
    </w:p>
  </w:endnote>
  <w:endnote w:type="continuationSeparator" w:id="0">
    <w:p w14:paraId="74F03F29" w14:textId="77777777" w:rsidR="003403CB" w:rsidRDefault="0034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B22C" w14:textId="77777777" w:rsidR="003403CB" w:rsidRDefault="003403CB">
      <w:r>
        <w:separator/>
      </w:r>
    </w:p>
  </w:footnote>
  <w:footnote w:type="continuationSeparator" w:id="0">
    <w:p w14:paraId="2FE384D0" w14:textId="77777777" w:rsidR="003403CB" w:rsidRDefault="0034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170F5"/>
    <w:rsid w:val="00017DDC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28D1"/>
    <w:rsid w:val="001736E6"/>
    <w:rsid w:val="00181F39"/>
    <w:rsid w:val="0018639A"/>
    <w:rsid w:val="001D6D1F"/>
    <w:rsid w:val="001E043A"/>
    <w:rsid w:val="001E1FC2"/>
    <w:rsid w:val="001E3AF3"/>
    <w:rsid w:val="0021560E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3CB"/>
    <w:rsid w:val="00340EED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A5FFC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5760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300F"/>
    <w:rsid w:val="007761B6"/>
    <w:rsid w:val="00796191"/>
    <w:rsid w:val="007A18A1"/>
    <w:rsid w:val="007A5D81"/>
    <w:rsid w:val="007B5E7B"/>
    <w:rsid w:val="007C09AD"/>
    <w:rsid w:val="007D0E9A"/>
    <w:rsid w:val="007E0D9C"/>
    <w:rsid w:val="007E2D30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065A0"/>
    <w:rsid w:val="00910D06"/>
    <w:rsid w:val="00924904"/>
    <w:rsid w:val="00936B3E"/>
    <w:rsid w:val="009405C9"/>
    <w:rsid w:val="009722E3"/>
    <w:rsid w:val="00992968"/>
    <w:rsid w:val="009A17BD"/>
    <w:rsid w:val="009B2828"/>
    <w:rsid w:val="009B2970"/>
    <w:rsid w:val="009B5AA1"/>
    <w:rsid w:val="009C6980"/>
    <w:rsid w:val="009D403D"/>
    <w:rsid w:val="009F0EE9"/>
    <w:rsid w:val="009F64D2"/>
    <w:rsid w:val="00A13BE4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F432D"/>
    <w:rsid w:val="00B22E83"/>
    <w:rsid w:val="00B4131E"/>
    <w:rsid w:val="00B44056"/>
    <w:rsid w:val="00B50765"/>
    <w:rsid w:val="00B64E6B"/>
    <w:rsid w:val="00B87E19"/>
    <w:rsid w:val="00BA0884"/>
    <w:rsid w:val="00BA2517"/>
    <w:rsid w:val="00BA7306"/>
    <w:rsid w:val="00BA7FE9"/>
    <w:rsid w:val="00BB18DC"/>
    <w:rsid w:val="00BC169B"/>
    <w:rsid w:val="00BC6768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3AA9"/>
    <w:rsid w:val="00D17F80"/>
    <w:rsid w:val="00D3665D"/>
    <w:rsid w:val="00D4128F"/>
    <w:rsid w:val="00D76B49"/>
    <w:rsid w:val="00D84FC5"/>
    <w:rsid w:val="00DA68AD"/>
    <w:rsid w:val="00DB06D1"/>
    <w:rsid w:val="00DC1E45"/>
    <w:rsid w:val="00DD2C46"/>
    <w:rsid w:val="00DD4A26"/>
    <w:rsid w:val="00DF2DFC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15B9"/>
    <w:rsid w:val="00F540FF"/>
    <w:rsid w:val="00F603B3"/>
    <w:rsid w:val="00F67D79"/>
    <w:rsid w:val="00F9311C"/>
    <w:rsid w:val="00F976F0"/>
    <w:rsid w:val="00FB32B0"/>
    <w:rsid w:val="00FC4174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2647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Hana Formanová, DiS.</cp:lastModifiedBy>
  <cp:revision>11</cp:revision>
  <cp:lastPrinted>2023-01-06T08:58:00Z</cp:lastPrinted>
  <dcterms:created xsi:type="dcterms:W3CDTF">2025-04-30T11:08:00Z</dcterms:created>
  <dcterms:modified xsi:type="dcterms:W3CDTF">2025-08-20T05:27:00Z</dcterms:modified>
</cp:coreProperties>
</file>